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2"/>
        <w:ind w:firstLine="0" w:firstLineChars="0"/>
        <w:rPr>
          <w:rFonts w:hint="eastAsia"/>
        </w:rPr>
      </w:pPr>
      <w:bookmarkStart w:id="0" w:name="_GoBack"/>
      <w:bookmarkEnd w:id="0"/>
      <w:r>
        <w:rPr>
          <w:rFonts w:hint="eastAsia"/>
        </w:rPr>
        <w:t>附件2-2</w:t>
      </w:r>
    </w:p>
    <w:p>
      <w:pPr>
        <w:pStyle w:val="20"/>
        <w:ind w:firstLine="631"/>
        <w:rPr>
          <w:rFonts w:hint="eastAsia"/>
        </w:rPr>
      </w:pPr>
    </w:p>
    <w:p>
      <w:pPr>
        <w:pStyle w:val="21"/>
        <w:rPr>
          <w:rFonts w:cs="黑体"/>
        </w:rPr>
      </w:pPr>
      <w:r>
        <w:rPr>
          <w:rFonts w:hint="eastAsia"/>
        </w:rPr>
        <w:t>烟花爆竹经营企业安全风险分级评估标准</w:t>
      </w:r>
    </w:p>
    <w:p>
      <w:pPr>
        <w:pStyle w:val="24"/>
        <w:rPr>
          <w:rFonts w:hint="eastAsia"/>
        </w:rPr>
      </w:pPr>
    </w:p>
    <w:tbl>
      <w:tblPr>
        <w:tblStyle w:val="12"/>
        <w:tblW w:w="13995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2551"/>
        <w:gridCol w:w="709"/>
        <w:gridCol w:w="7510"/>
        <w:gridCol w:w="1276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序号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安全评估项目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评估分值</w:t>
            </w:r>
          </w:p>
        </w:tc>
        <w:tc>
          <w:tcPr>
            <w:tcW w:w="7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评分标准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自评得分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评估</w:t>
            </w:r>
          </w:p>
          <w:p>
            <w:pPr>
              <w:spacing w:line="340" w:lineRule="exact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1、企业固有危险程度15%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危险物质储存数量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6</w:t>
            </w:r>
          </w:p>
        </w:tc>
        <w:tc>
          <w:tcPr>
            <w:tcW w:w="7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批发企业总储药量超过30吨的，扣2分；</w:t>
            </w:r>
            <w:r>
              <w:rPr>
                <w:rFonts w:eastAsia="仿宋_GB2312"/>
                <w:sz w:val="24"/>
                <w:shd w:val="clear" w:color="auto" w:fill="FFFFFF"/>
              </w:rPr>
              <w:t>超过50吨的，扣4分；超过70吨的，扣6分</w:t>
            </w:r>
            <w:r>
              <w:rPr>
                <w:rFonts w:eastAsia="仿宋_GB2312"/>
                <w:sz w:val="24"/>
              </w:rPr>
              <w:t>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8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仓库的危险等级及经营类别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9</w:t>
            </w:r>
          </w:p>
        </w:tc>
        <w:tc>
          <w:tcPr>
            <w:tcW w:w="7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8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1.2.1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1.3级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7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1.3级，扣2分。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8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1.2.2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1.1</w:t>
            </w:r>
            <w:r>
              <w:rPr>
                <w:rFonts w:eastAsia="仿宋_GB2312"/>
                <w:sz w:val="24"/>
                <w:vertAlign w:val="superscript"/>
              </w:rPr>
              <w:t>-2</w:t>
            </w:r>
            <w:r>
              <w:rPr>
                <w:rFonts w:eastAsia="仿宋_GB2312"/>
                <w:sz w:val="24"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7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1.1</w:t>
            </w:r>
            <w:r>
              <w:rPr>
                <w:rFonts w:eastAsia="仿宋_GB2312"/>
                <w:sz w:val="24"/>
                <w:vertAlign w:val="superscript"/>
              </w:rPr>
              <w:t>-2</w:t>
            </w:r>
            <w:r>
              <w:rPr>
                <w:rFonts w:eastAsia="仿宋_GB2312"/>
                <w:sz w:val="24"/>
              </w:rPr>
              <w:t>级，扣3分。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8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1.2.3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经营类别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7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经营黑火药、引火线的，扣4分。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8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2、整体布局及安全设施条件35%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安全距离符合性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7</w:t>
            </w:r>
          </w:p>
        </w:tc>
        <w:tc>
          <w:tcPr>
            <w:tcW w:w="7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安全距离不符合相关标准规定的，扣7分。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8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建筑物条件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8</w:t>
            </w:r>
          </w:p>
        </w:tc>
        <w:tc>
          <w:tcPr>
            <w:tcW w:w="7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8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2.2.1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建筑物耐火等级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7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建筑物耐火等级不符合规定的，每处扣1分，扣完为止。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8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2.2.2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防护屏障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7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1.1级库房的防护屏障不符合要求的，每处扣1分，扣完为止。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8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2.2.3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作业场所符合性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7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库区作业场所、运输主通道等不符合有关规定的，每处不符合扣1分，直至扣完为止。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8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安全设施条件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20</w:t>
            </w:r>
          </w:p>
        </w:tc>
        <w:tc>
          <w:tcPr>
            <w:tcW w:w="7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8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2.3.1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防雷防静电设施</w:t>
            </w:r>
          </w:p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完好性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7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防雷设施未定期检测或不合格的，扣2分；防静电设施未定期检测或</w:t>
            </w:r>
          </w:p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不合格的，扣2分。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8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2.3.2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消防设施完好性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7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配置不符合规定的，每处扣1分，直至扣完此项分值。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8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2.3.3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视频监控系统完好性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7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视频探头损坏每个扣1分，直至扣完此项分值。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8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2.3.4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流向信息系统使用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7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系统不完好，直接扣5分；未正常使用，每处扣1分，扣完为止。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8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2.3.5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运输车辆的符合性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7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运输车辆不符合要求的，扣2分。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8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3、企业安全管理水平50%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安全管理体系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20</w:t>
            </w:r>
          </w:p>
        </w:tc>
        <w:tc>
          <w:tcPr>
            <w:tcW w:w="7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8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3.1.1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安全生产责任制、安全管理制度、安全操作</w:t>
            </w:r>
          </w:p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规程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7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未明确相关岗位责任或未签订安全生产责任书的，发现一处扣1分。安全管理制度每缺1项扣1分，扣完为止。未制订安全操作规程，每缺1项扣1分，扣完为止。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8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3.1.2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安全管理机构和专职安全管理人员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7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未按规定设立安全管理机构或专职安全管理人员，扣3分，专职安全管理人员不足，每缺1人扣1分。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8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3.1.3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档案建设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7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在经营各环节建立安全管理档案，缺一项扣1分，未建立扣3分。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8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3.1.4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产品流向信息管理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7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未采用产品流向信息管理的扣5分，不完善的3分。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8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3.1.5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事故应急救援预案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7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未制订事故应急救援预案，扣完此项分值，不完善的酌情扣分。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8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安全管理制度</w:t>
            </w:r>
          </w:p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执行情况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15</w:t>
            </w:r>
          </w:p>
        </w:tc>
        <w:tc>
          <w:tcPr>
            <w:tcW w:w="7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8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3.2.1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人员培训及持证上岗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7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未建立安全生产教育培训台帐的，扣1分，每发现1人无证上岗扣2分，直至扣完此项分值。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3.2.2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安全检查及隐患排查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7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未建立安全生产隐患排查治理台帐的，扣1分，未定期进行安全检查的，扣1分，对检查发现的隐患不及时整改的，扣2分。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3.2.3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劳动保护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7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未按规定发放劳保用品的扣2分，未定期进行体检的扣1分。未按规定佩戴相关劳保用品，每发现1人扣1分，扣完为止。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3.2.4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安全投入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7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未建立年度安全投入计划的扣1分，安全投入不符合安全生产要求的扣2分。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3.2.5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工伤保险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7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依法参加工伤保险。未为从业人员缴纳保险费的扣2分。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3.2.6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产品质量管理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7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销售产品应符合国家安全质量标准，销售不合格产品的，每发现一个类别扣1分，直至扣完为止。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作业安全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15</w:t>
            </w:r>
          </w:p>
        </w:tc>
        <w:tc>
          <w:tcPr>
            <w:tcW w:w="7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3.3.1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施工作业管理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7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涉及施工作业，边施工边经营的扣3分。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3.3.2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定员控制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7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发现一处超员，直接扣2分。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3.3.3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定量控制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7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发现一处超量，直接扣4分。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3.3.4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产品堆码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7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产品堆码不符合要求的，每处扣1分，扣完为止。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3.3.5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工用具使用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7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工用具使用不符合要求的，扣2分。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4、直接判定条件（以下判定不一致的，以高等级为准）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4.1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安全标准化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安全标准化达到国家级、省级的，可按评估结果上浮一个等级。未开展安全标准化工作的，评定风险等级在C、D级。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8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4.2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挂牌单位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列为省级以上挂牌整改单位的，评定为D级。被税务、公安、安监、质监等部门列入失信名单的企业，评定为D级。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8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sz w:val="24"/>
              </w:rPr>
              <w:t>4.3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sz w:val="24"/>
              </w:rPr>
              <w:t>安全距离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7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sz w:val="24"/>
              </w:rPr>
              <w:t>安全距离不符合规范要求的，评定为D级。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8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4.4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安全生产事故情况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  <w:shd w:val="clear" w:color="auto" w:fill="FFFFFF"/>
              </w:rPr>
              <w:t>上年度发生较大以上，或发生2起一般生产安全责任事故的，或发生重大社会影响事故的，评定为D级</w:t>
            </w:r>
            <w:r>
              <w:rPr>
                <w:rFonts w:eastAsia="仿宋_GB2312"/>
                <w:sz w:val="24"/>
              </w:rPr>
              <w:t>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8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4.5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现场安全隐患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现场存在明显安全隐患的，评定在C、D级。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8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4.6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安全许可情况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未取得烟花爆竹经营许可或许可过期的，评定为D级。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8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4.7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行政处罚情况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一年内经过2次以上行政处罚的，评定为C级，其中有一次是超许可范围储存或经营的，评定为D级。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8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4.8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周边环境安全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库区周边环境不符合城镇建设规划的，评定为D级。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8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80" w:lineRule="exact"/>
              <w:rPr>
                <w:rFonts w:ascii="宋体" w:hAnsi="宋体" w:cs="宋体"/>
                <w:sz w:val="24"/>
              </w:rPr>
            </w:pPr>
          </w:p>
        </w:tc>
      </w:tr>
    </w:tbl>
    <w:p>
      <w:pPr>
        <w:pStyle w:val="20"/>
        <w:spacing w:line="440" w:lineRule="exact"/>
        <w:ind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备注：1、本表采用总分100分评分制。A级，总得分85分以上；B级，总得分85分以下，75分以上；C级总得分75分以下，65分以上；D级，总得分65分以下。本规定的“以上”包含本数，“以下”不包含本数。</w:t>
      </w:r>
    </w:p>
    <w:p>
      <w:pPr>
        <w:pStyle w:val="20"/>
        <w:spacing w:line="440" w:lineRule="exact"/>
        <w:ind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2、烟花爆竹产品分级根据《烟花爆竹 安全与质量》（GB10631-2013）判别。</w:t>
      </w:r>
    </w:p>
    <w:p>
      <w:pPr>
        <w:pStyle w:val="20"/>
        <w:spacing w:line="440" w:lineRule="exact"/>
        <w:ind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3、建筑等级依据《烟花爆竹工程设计安全规范》（GB5061—2009）判别。</w:t>
      </w:r>
    </w:p>
    <w:p>
      <w:pPr>
        <w:pStyle w:val="20"/>
        <w:spacing w:line="440" w:lineRule="exact"/>
        <w:ind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4、定员定量根据《烟花爆竹作业安全技术规程》（GB1652—2012）判别。</w:t>
      </w:r>
    </w:p>
    <w:p>
      <w:pPr>
        <w:pStyle w:val="20"/>
        <w:spacing w:line="440" w:lineRule="exact"/>
        <w:ind w:firstLine="631"/>
        <w:rPr>
          <w:rFonts w:hint="eastAsia"/>
        </w:rPr>
      </w:pPr>
    </w:p>
    <w:p>
      <w:pPr>
        <w:pStyle w:val="20"/>
        <w:spacing w:line="20" w:lineRule="exact"/>
        <w:ind w:firstLine="631"/>
        <w:rPr>
          <w:rFonts w:hint="eastAsia"/>
        </w:rPr>
      </w:pPr>
    </w:p>
    <w:p/>
    <w:sectPr>
      <w:pgSz w:w="16838" w:h="11906" w:orient="landscape"/>
      <w:pgMar w:top="1588" w:right="2098" w:bottom="1474" w:left="1928" w:header="284" w:footer="1418" w:gutter="0"/>
      <w:cols w:space="425" w:num="1"/>
      <w:docGrid w:type="linesAndChars" w:linePitch="582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569"/>
    <w:rsid w:val="003048E4"/>
    <w:rsid w:val="00472569"/>
    <w:rsid w:val="005C45A7"/>
    <w:rsid w:val="2276554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4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5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6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17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9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Subtitle"/>
    <w:basedOn w:val="1"/>
    <w:next w:val="1"/>
    <w:link w:val="19"/>
    <w:qFormat/>
    <w:uiPriority w:val="0"/>
    <w:pPr>
      <w:spacing w:before="240" w:after="60" w:line="312" w:lineRule="auto"/>
      <w:jc w:val="center"/>
      <w:outlineLvl w:val="1"/>
    </w:pPr>
    <w:rPr>
      <w:rFonts w:ascii="Calibri" w:hAnsi="Calibri"/>
      <w:b/>
      <w:bCs/>
      <w:kern w:val="28"/>
      <w:sz w:val="32"/>
      <w:szCs w:val="32"/>
    </w:rPr>
  </w:style>
  <w:style w:type="paragraph" w:styleId="8">
    <w:name w:val="Title"/>
    <w:basedOn w:val="1"/>
    <w:next w:val="1"/>
    <w:link w:val="18"/>
    <w:qFormat/>
    <w:uiPriority w:val="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character" w:styleId="10">
    <w:name w:val="Strong"/>
    <w:qFormat/>
    <w:uiPriority w:val="0"/>
    <w:rPr>
      <w:rFonts w:ascii="Times New Roman" w:hAnsi="Times New Roman" w:eastAsia="宋体" w:cs="Times New Roman"/>
      <w:b/>
      <w:bCs/>
    </w:rPr>
  </w:style>
  <w:style w:type="character" w:styleId="11">
    <w:name w:val="Emphasis"/>
    <w:qFormat/>
    <w:uiPriority w:val="0"/>
    <w:rPr>
      <w:rFonts w:ascii="Times New Roman" w:hAnsi="Times New Roman" w:eastAsia="宋体" w:cs="Times New Roman"/>
    </w:rPr>
  </w:style>
  <w:style w:type="character" w:customStyle="1" w:styleId="13">
    <w:name w:val="标题 1 Char"/>
    <w:link w:val="2"/>
    <w:qFormat/>
    <w:uiPriority w:val="0"/>
    <w:rPr>
      <w:rFonts w:ascii="宋体" w:hAnsi="宋体" w:cs="宋体"/>
      <w:b/>
      <w:bCs/>
      <w:kern w:val="36"/>
      <w:sz w:val="48"/>
      <w:szCs w:val="48"/>
    </w:rPr>
  </w:style>
  <w:style w:type="character" w:customStyle="1" w:styleId="14">
    <w:name w:val="标题 2 Char"/>
    <w:basedOn w:val="9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5">
    <w:name w:val="标题 3 Char"/>
    <w:link w:val="4"/>
    <w:uiPriority w:val="0"/>
    <w:rPr>
      <w:b/>
      <w:bCs/>
      <w:kern w:val="2"/>
      <w:sz w:val="32"/>
      <w:szCs w:val="32"/>
    </w:rPr>
  </w:style>
  <w:style w:type="character" w:customStyle="1" w:styleId="16">
    <w:name w:val="标题 4 Char"/>
    <w:basedOn w:val="9"/>
    <w:link w:val="5"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17">
    <w:name w:val="标题 5 Char"/>
    <w:link w:val="6"/>
    <w:qFormat/>
    <w:uiPriority w:val="0"/>
    <w:rPr>
      <w:b/>
      <w:bCs/>
      <w:kern w:val="2"/>
      <w:sz w:val="28"/>
      <w:szCs w:val="28"/>
    </w:rPr>
  </w:style>
  <w:style w:type="character" w:customStyle="1" w:styleId="18">
    <w:name w:val="标题 Char"/>
    <w:link w:val="8"/>
    <w:uiPriority w:val="0"/>
    <w:rPr>
      <w:rFonts w:ascii="Calibri" w:hAnsi="Calibri"/>
      <w:b/>
      <w:bCs/>
      <w:kern w:val="2"/>
      <w:sz w:val="32"/>
      <w:szCs w:val="32"/>
    </w:rPr>
  </w:style>
  <w:style w:type="character" w:customStyle="1" w:styleId="19">
    <w:name w:val="副标题 Char"/>
    <w:link w:val="7"/>
    <w:qFormat/>
    <w:uiPriority w:val="0"/>
    <w:rPr>
      <w:rFonts w:ascii="Calibri" w:hAnsi="Calibri"/>
      <w:b/>
      <w:bCs/>
      <w:kern w:val="28"/>
      <w:sz w:val="32"/>
      <w:szCs w:val="32"/>
    </w:rPr>
  </w:style>
  <w:style w:type="paragraph" w:customStyle="1" w:styleId="20">
    <w:name w:val="公文主体"/>
    <w:basedOn w:val="1"/>
    <w:link w:val="25"/>
    <w:qFormat/>
    <w:uiPriority w:val="0"/>
    <w:pPr>
      <w:spacing w:line="580" w:lineRule="exact"/>
      <w:ind w:firstLine="200" w:firstLineChars="200"/>
    </w:pPr>
    <w:rPr>
      <w:rFonts w:eastAsia="仿宋_GB2312"/>
      <w:sz w:val="32"/>
    </w:rPr>
  </w:style>
  <w:style w:type="paragraph" w:customStyle="1" w:styleId="21">
    <w:name w:val="大标题"/>
    <w:basedOn w:val="20"/>
    <w:next w:val="1"/>
    <w:link w:val="26"/>
    <w:qFormat/>
    <w:uiPriority w:val="0"/>
    <w:pPr>
      <w:ind w:firstLine="0" w:firstLineChars="0"/>
      <w:jc w:val="center"/>
      <w:outlineLvl w:val="0"/>
    </w:pPr>
    <w:rPr>
      <w:rFonts w:eastAsia="方正小标宋简体"/>
      <w:sz w:val="44"/>
    </w:rPr>
  </w:style>
  <w:style w:type="paragraph" w:customStyle="1" w:styleId="22">
    <w:name w:val="一级标题"/>
    <w:basedOn w:val="20"/>
    <w:next w:val="20"/>
    <w:link w:val="27"/>
    <w:uiPriority w:val="0"/>
    <w:pPr>
      <w:outlineLvl w:val="2"/>
    </w:pPr>
    <w:rPr>
      <w:rFonts w:eastAsia="黑体"/>
    </w:rPr>
  </w:style>
  <w:style w:type="paragraph" w:customStyle="1" w:styleId="23">
    <w:name w:val="二级标题"/>
    <w:basedOn w:val="20"/>
    <w:next w:val="20"/>
    <w:link w:val="28"/>
    <w:qFormat/>
    <w:uiPriority w:val="0"/>
    <w:pPr>
      <w:outlineLvl w:val="3"/>
    </w:pPr>
    <w:rPr>
      <w:rFonts w:eastAsia="楷体_GB2312"/>
    </w:rPr>
  </w:style>
  <w:style w:type="paragraph" w:customStyle="1" w:styleId="24">
    <w:name w:val="表格"/>
    <w:basedOn w:val="20"/>
    <w:next w:val="20"/>
    <w:uiPriority w:val="0"/>
    <w:pPr>
      <w:spacing w:line="440" w:lineRule="exact"/>
      <w:ind w:firstLine="0" w:firstLineChars="0"/>
      <w:jc w:val="center"/>
    </w:pPr>
    <w:rPr>
      <w:rFonts w:eastAsia="宋体"/>
      <w:sz w:val="28"/>
    </w:rPr>
  </w:style>
  <w:style w:type="character" w:customStyle="1" w:styleId="25">
    <w:name w:val="公文主体 Char"/>
    <w:basedOn w:val="9"/>
    <w:link w:val="20"/>
    <w:uiPriority w:val="0"/>
    <w:rPr>
      <w:rFonts w:eastAsia="仿宋_GB2312"/>
      <w:kern w:val="2"/>
      <w:sz w:val="32"/>
      <w:szCs w:val="24"/>
    </w:rPr>
  </w:style>
  <w:style w:type="character" w:customStyle="1" w:styleId="26">
    <w:name w:val="大标题 Char"/>
    <w:link w:val="21"/>
    <w:qFormat/>
    <w:uiPriority w:val="0"/>
    <w:rPr>
      <w:rFonts w:eastAsia="方正小标宋简体"/>
      <w:kern w:val="2"/>
      <w:sz w:val="44"/>
      <w:szCs w:val="24"/>
    </w:rPr>
  </w:style>
  <w:style w:type="character" w:customStyle="1" w:styleId="27">
    <w:name w:val="一级标题 Char"/>
    <w:link w:val="22"/>
    <w:qFormat/>
    <w:locked/>
    <w:uiPriority w:val="0"/>
    <w:rPr>
      <w:rFonts w:eastAsia="黑体"/>
      <w:kern w:val="2"/>
      <w:sz w:val="32"/>
      <w:szCs w:val="24"/>
    </w:rPr>
  </w:style>
  <w:style w:type="character" w:customStyle="1" w:styleId="28">
    <w:name w:val="二级标题 Char"/>
    <w:link w:val="23"/>
    <w:qFormat/>
    <w:uiPriority w:val="0"/>
    <w:rPr>
      <w:rFonts w:eastAsia="楷体_GB2312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1146</Words>
  <Characters>6538</Characters>
  <Lines>54</Lines>
  <Paragraphs>15</Paragraphs>
  <ScaleCrop>false</ScaleCrop>
  <LinksUpToDate>false</LinksUpToDate>
  <CharactersWithSpaces>7669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2016-12-28T05:14:00Z</dcterms:created>
  <dc:creator>石宇</dc:creator>
  <cp:lastModifiedBy>Administrator</cp:lastModifiedBy>
  <dcterms:modified xsi:type="dcterms:W3CDTF">2016-12-28T08:33:59Z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