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ind w:firstLine="0" w:firstLineChars="0"/>
      </w:pPr>
      <w:r>
        <w:rPr>
          <w:rFonts w:hint="eastAsia" w:cs="黑体"/>
        </w:rPr>
        <w:t>附件</w:t>
      </w:r>
      <w:r>
        <w:t>2-1</w:t>
      </w:r>
    </w:p>
    <w:p>
      <w:pPr>
        <w:pStyle w:val="21"/>
        <w:ind w:firstLine="31680"/>
      </w:pPr>
    </w:p>
    <w:p>
      <w:pPr>
        <w:pStyle w:val="22"/>
      </w:pPr>
      <w:r>
        <w:rPr>
          <w:rFonts w:hint="eastAsia" w:cs="方正小标宋简体"/>
        </w:rPr>
        <w:t>烟花爆竹生产企业安全风险分级评估标准</w:t>
      </w:r>
    </w:p>
    <w:p>
      <w:pPr>
        <w:pStyle w:val="25"/>
      </w:pPr>
    </w:p>
    <w:tbl>
      <w:tblPr>
        <w:tblStyle w:val="13"/>
        <w:tblW w:w="139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52"/>
        <w:gridCol w:w="709"/>
        <w:gridCol w:w="7512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安全评估项目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评估分值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自评得分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评估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、企业固有危险程度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生产品种危险特性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同一生产单元最多扣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hint="eastAsia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生产爆竹类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生产爆竹类的，扣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1.1.2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生产烟花类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</w:t>
            </w:r>
            <w:r>
              <w:rPr>
                <w:rFonts w:eastAsia="仿宋_GB2312"/>
                <w:sz w:val="24"/>
                <w:szCs w:val="24"/>
              </w:rPr>
              <w:t>C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级烟花类的，扣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分；生产</w:t>
            </w:r>
            <w:r>
              <w:rPr>
                <w:rFonts w:eastAsia="仿宋_GB2312"/>
                <w:sz w:val="24"/>
                <w:szCs w:val="24"/>
              </w:rPr>
              <w:t>A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B</w:t>
            </w:r>
            <w:r>
              <w:rPr>
                <w:rFonts w:hint="eastAsia" w:eastAsia="仿宋_GB2312" w:cs="仿宋_GB2312"/>
                <w:sz w:val="24"/>
                <w:szCs w:val="24"/>
              </w:rPr>
              <w:t>级烟花类的，扣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生产其他类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生产引火线的，扣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分；生产黑火药的，扣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9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、整体布局及安全设施条件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安全距离符合性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安全距离不符合相关标准规定的，扣</w:t>
            </w:r>
            <w:r>
              <w:rPr>
                <w:rFonts w:eastAsia="仿宋_GB2312"/>
                <w:sz w:val="24"/>
                <w:szCs w:val="24"/>
              </w:rPr>
              <w:t>7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2.2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建筑物条件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2.2.1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建筑物耐火等级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</w:t>
            </w:r>
            <w:r>
              <w:rPr>
                <w:rFonts w:hint="eastAsia" w:eastAsia="仿宋_GB2312" w:cs="仿宋_GB2312"/>
                <w:sz w:val="24"/>
                <w:szCs w:val="24"/>
              </w:rPr>
              <w:t>级建筑物的耐火等级不符合规定的，每处扣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2.2.2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防护屏障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1.1</w:t>
            </w:r>
            <w:r>
              <w:rPr>
                <w:rFonts w:hint="eastAsia" w:eastAsia="仿宋_GB2312" w:cs="仿宋_GB2312"/>
                <w:sz w:val="24"/>
                <w:szCs w:val="24"/>
              </w:rPr>
              <w:t>级建筑物的防护屏障不符合要求的，扣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2.2.3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作业场所符合性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作业场所不符合有关规定的，每处不符合扣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分，直至扣完为止。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安全设施条件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2.3.1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机械化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爆竹装药、插引、结鞭；烟花混药、组盆、内筒装药等危险工序采用电动机械设备作业，缺一项扣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2.3.2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防雷防静电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防雷设施未定期检测或不合格的，扣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分；防静电设施未定期检测或不合格的，扣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2.3.3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消防设施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配置不符合标准的，每项扣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2.3.4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视频监控系统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视频探头损坏，每个扣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、企业安全管理水平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安全管理体系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3.1.1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安全生产责任制、安全管理制度、操作规程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未明确相关岗位责任或未签订安全生产责任书的，每发现一处扣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分。每缺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项扣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分，扣完为止。不完善的酌情扣分。未制订安全操作规程，扣完此项分值。不完善的酌情扣分。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3.1.2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安全管理机构和专职安全管理人员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未按规定设立安全管理机构或专职安全管理人员，扣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分，专职安全管理人员不足，每缺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人扣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3.1.3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档案建设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在生产各环节建立安全管理档案，缺一项扣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分，未建立扣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3.1.4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计算机管理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在生产过程中运用计算机软件管理，缺一项扣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分，未建立扣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3.1.5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事故应急救援预案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未制订事故应急救援预案，直接扣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3.1.6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流向信息系统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未正常使用，扣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分；系统未配置，直接扣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4"/>
                <w:sz w:val="24"/>
                <w:szCs w:val="24"/>
              </w:rPr>
              <w:t>安全管理制度执行情况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5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人员培训及持证上岗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是否定期组织学习培训，主要负责人、分管安全生产负责人、安全管理人员、特种作业人员持证上岗，并建立安全生产教育培训台帐。未建立安全生产教育培训台帐的，扣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分，每发现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人无证上岗扣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分，直至扣完此项分值。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3.2.2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安全检查及隐患排查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定期进行安全检查，对隐患及时落实整改措施，建立安全生产隐患排查治理台帐。未建立安全生产隐患排查治理台帐的，扣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分，未定期进行安全检查的，扣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分，对检查发现的隐患不及时整改的，扣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劳动保护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未按规定发放劳保用品的扣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分，对危险岗位人员未定期进行体检的扣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分。未按规定佩戴相关劳保用品，每发现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人扣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3.2.4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安全投入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建立年度安全生产投入计划并符合安全生产要求。未建立年度安全投入计划的扣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分，安全投入不符合安全生产要求的扣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3.2.5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工伤保险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依法参加工伤保险。未为从业人员缴纳保险费的扣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3.2.6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产品质量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生产产品应当符合国家标准。每发现一个扣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3.2.7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现场情况与设计相符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企业擅自改变工房用途的，扣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作业安全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3.3.1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施工作业管理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存在边施工作业边生产的扣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</w:t>
            </w:r>
            <w:r>
              <w:rPr>
                <w:rFonts w:eastAsia="仿宋_GB2312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3.3.2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运输车辆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车辆不符合标准要求的扣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3.3.3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定员控制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发现一处超员，直接扣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3.3.4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定量控制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发现一处超量，扣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3.3.5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工用具使用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违规使用工用具的，一处扣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分，扣完为止。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9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4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、直接判定条件（以下判定不一致的，以高等级为准）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4.1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安全标准化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安全标准化达到国家级、省级的，可按评估结果上浮一个等级。未开展安全标准化工作的，评定风险等级在</w:t>
            </w:r>
            <w:r>
              <w:rPr>
                <w:rFonts w:eastAsia="仿宋_GB2312"/>
                <w:sz w:val="24"/>
                <w:szCs w:val="24"/>
              </w:rPr>
              <w:t>C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4.2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成品库、中转库、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危险品库配置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成品库、中转库、危险品库配置不达标的，直接评定为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4.3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安全距离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企业内外部安全距离不符合规范要求，直接评定为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4.4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安全生产事故情况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shd w:val="clear" w:color="auto" w:fill="FFFFFF"/>
              </w:rPr>
              <w:t>上年度发生较大以上，或发生</w:t>
            </w:r>
            <w:r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shd w:val="clear" w:color="auto" w:fill="FFFFFF"/>
              </w:rPr>
              <w:t>起一般生产安全责任事故的，或发生重大社会影响事故的，评定为</w:t>
            </w:r>
            <w:r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shd w:val="clear" w:color="auto" w:fill="FFFFFF"/>
              </w:rPr>
              <w:t>级</w:t>
            </w:r>
            <w:r>
              <w:rPr>
                <w:rFonts w:hint="eastAsia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4.5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现场安全隐患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现场存在重大安全隐患的，评定在</w:t>
            </w:r>
            <w:r>
              <w:rPr>
                <w:rFonts w:eastAsia="仿宋_GB2312"/>
                <w:sz w:val="24"/>
                <w:szCs w:val="24"/>
              </w:rPr>
              <w:t>C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4.6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安全许可情况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未取得烟花爆竹生产许可或许可过期的，评定为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4.7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行政处罚情况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一年内，经过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次以上行政处罚的，评定为</w:t>
            </w:r>
            <w:r>
              <w:rPr>
                <w:rFonts w:eastAsia="仿宋_GB2312"/>
                <w:sz w:val="24"/>
                <w:szCs w:val="24"/>
              </w:rPr>
              <w:t>C</w:t>
            </w:r>
            <w:r>
              <w:rPr>
                <w:rFonts w:hint="eastAsia" w:eastAsia="仿宋_GB2312" w:cs="仿宋_GB2312"/>
                <w:sz w:val="24"/>
                <w:szCs w:val="24"/>
              </w:rPr>
              <w:t>级，其中有一次是超许可范围生产或储存的，评定为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级。被税务、公安、安监、质监等部门列入失信名单的企业，评定为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4.8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周边环境安全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企业周边环境不符合城镇建设规划要求的，评定为</w:t>
            </w:r>
            <w:r>
              <w:rPr>
                <w:rFonts w:eastAsia="仿宋_GB2312"/>
                <w:sz w:val="24"/>
                <w:szCs w:val="24"/>
              </w:rPr>
              <w:t>D</w:t>
            </w:r>
            <w:r>
              <w:rPr>
                <w:rFonts w:hint="eastAsia" w:eastAsia="仿宋_GB2312" w:cs="仿宋_GB2312"/>
                <w:sz w:val="24"/>
                <w:szCs w:val="24"/>
              </w:rPr>
              <w:t>级。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21"/>
        <w:spacing w:line="440" w:lineRule="exact"/>
        <w:ind w:firstLine="0" w:firstLineChars="0"/>
        <w:rPr>
          <w:sz w:val="28"/>
          <w:szCs w:val="28"/>
        </w:rPr>
      </w:pPr>
      <w:r>
        <w:rPr>
          <w:rFonts w:hint="eastAsia" w:cs="仿宋_GB2312"/>
          <w:sz w:val="28"/>
          <w:szCs w:val="28"/>
        </w:rPr>
        <w:t>备注：</w:t>
      </w:r>
      <w:r>
        <w:rPr>
          <w:sz w:val="28"/>
          <w:szCs w:val="28"/>
        </w:rPr>
        <w:t>1</w:t>
      </w:r>
      <w:r>
        <w:rPr>
          <w:rFonts w:hint="eastAsia" w:cs="仿宋_GB2312"/>
          <w:sz w:val="28"/>
          <w:szCs w:val="28"/>
        </w:rPr>
        <w:t>、本表采用总分</w:t>
      </w:r>
      <w:r>
        <w:rPr>
          <w:sz w:val="28"/>
          <w:szCs w:val="28"/>
        </w:rPr>
        <w:t>100</w:t>
      </w:r>
      <w:r>
        <w:rPr>
          <w:rFonts w:hint="eastAsia" w:cs="仿宋_GB2312"/>
          <w:sz w:val="28"/>
          <w:szCs w:val="28"/>
        </w:rPr>
        <w:t>分评分制。</w:t>
      </w:r>
      <w:r>
        <w:rPr>
          <w:sz w:val="28"/>
          <w:szCs w:val="28"/>
        </w:rPr>
        <w:t>A</w:t>
      </w:r>
      <w:r>
        <w:rPr>
          <w:rFonts w:hint="eastAsia" w:cs="仿宋_GB2312"/>
          <w:sz w:val="28"/>
          <w:szCs w:val="28"/>
        </w:rPr>
        <w:t>级，总得分</w:t>
      </w:r>
      <w:r>
        <w:rPr>
          <w:sz w:val="28"/>
          <w:szCs w:val="28"/>
        </w:rPr>
        <w:t>85</w:t>
      </w:r>
      <w:r>
        <w:rPr>
          <w:rFonts w:hint="eastAsia" w:cs="仿宋_GB2312"/>
          <w:sz w:val="28"/>
          <w:szCs w:val="28"/>
        </w:rPr>
        <w:t>分以上；</w:t>
      </w:r>
      <w:r>
        <w:rPr>
          <w:sz w:val="28"/>
          <w:szCs w:val="28"/>
        </w:rPr>
        <w:t>B</w:t>
      </w:r>
      <w:r>
        <w:rPr>
          <w:rFonts w:hint="eastAsia" w:cs="仿宋_GB2312"/>
          <w:sz w:val="28"/>
          <w:szCs w:val="28"/>
        </w:rPr>
        <w:t>级，总得分</w:t>
      </w:r>
      <w:r>
        <w:rPr>
          <w:sz w:val="28"/>
          <w:szCs w:val="28"/>
        </w:rPr>
        <w:t>75-84</w:t>
      </w:r>
      <w:r>
        <w:rPr>
          <w:rFonts w:hint="eastAsia" w:cs="仿宋_GB2312"/>
          <w:sz w:val="28"/>
          <w:szCs w:val="28"/>
        </w:rPr>
        <w:t>分；</w:t>
      </w:r>
      <w:r>
        <w:rPr>
          <w:sz w:val="28"/>
          <w:szCs w:val="28"/>
        </w:rPr>
        <w:t>C</w:t>
      </w:r>
      <w:r>
        <w:rPr>
          <w:rFonts w:hint="eastAsia" w:cs="仿宋_GB2312"/>
          <w:sz w:val="28"/>
          <w:szCs w:val="28"/>
        </w:rPr>
        <w:t>级总得分</w:t>
      </w:r>
      <w:r>
        <w:rPr>
          <w:sz w:val="28"/>
          <w:szCs w:val="28"/>
        </w:rPr>
        <w:t>65-74</w:t>
      </w:r>
      <w:r>
        <w:rPr>
          <w:rFonts w:hint="eastAsia" w:cs="仿宋_GB2312"/>
          <w:sz w:val="28"/>
          <w:szCs w:val="28"/>
        </w:rPr>
        <w:t>分；</w:t>
      </w:r>
      <w:r>
        <w:rPr>
          <w:sz w:val="28"/>
          <w:szCs w:val="28"/>
        </w:rPr>
        <w:t>D</w:t>
      </w:r>
      <w:r>
        <w:rPr>
          <w:rFonts w:hint="eastAsia" w:cs="仿宋_GB2312"/>
          <w:sz w:val="28"/>
          <w:szCs w:val="28"/>
        </w:rPr>
        <w:t>级，总得分</w:t>
      </w:r>
      <w:r>
        <w:rPr>
          <w:sz w:val="28"/>
          <w:szCs w:val="28"/>
        </w:rPr>
        <w:t>65</w:t>
      </w:r>
      <w:r>
        <w:rPr>
          <w:rFonts w:hint="eastAsia" w:cs="仿宋_GB2312"/>
          <w:sz w:val="28"/>
          <w:szCs w:val="28"/>
        </w:rPr>
        <w:t>分以下。本规定的“以上”包含本数，“以下”不包含本数。</w:t>
      </w:r>
    </w:p>
    <w:p>
      <w:pPr>
        <w:pStyle w:val="21"/>
        <w:spacing w:line="440" w:lineRule="exact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仿宋_GB2312"/>
          <w:sz w:val="28"/>
          <w:szCs w:val="28"/>
        </w:rPr>
        <w:t>、烟花爆竹产品分级根据《烟花爆竹</w:t>
      </w:r>
      <w:r>
        <w:rPr>
          <w:sz w:val="28"/>
          <w:szCs w:val="28"/>
        </w:rPr>
        <w:t xml:space="preserve"> </w:t>
      </w:r>
      <w:r>
        <w:rPr>
          <w:rFonts w:hint="eastAsia" w:cs="仿宋_GB2312"/>
          <w:sz w:val="28"/>
          <w:szCs w:val="28"/>
        </w:rPr>
        <w:t>安全与质量》（</w:t>
      </w:r>
      <w:r>
        <w:rPr>
          <w:sz w:val="28"/>
          <w:szCs w:val="28"/>
        </w:rPr>
        <w:t>GB10631-2013</w:t>
      </w:r>
      <w:r>
        <w:rPr>
          <w:rFonts w:hint="eastAsia" w:cs="仿宋_GB2312"/>
          <w:sz w:val="28"/>
          <w:szCs w:val="28"/>
        </w:rPr>
        <w:t>）判别。</w:t>
      </w:r>
    </w:p>
    <w:p>
      <w:pPr>
        <w:pStyle w:val="21"/>
        <w:spacing w:line="440" w:lineRule="exact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仿宋_GB2312"/>
          <w:sz w:val="28"/>
          <w:szCs w:val="28"/>
        </w:rPr>
        <w:t>、建筑等级依据《烟花爆竹工程设计安全规范》（</w:t>
      </w:r>
      <w:r>
        <w:rPr>
          <w:sz w:val="28"/>
          <w:szCs w:val="28"/>
        </w:rPr>
        <w:t>GB5061—2009</w:t>
      </w:r>
      <w:r>
        <w:rPr>
          <w:rFonts w:hint="eastAsia" w:cs="仿宋_GB2312"/>
          <w:sz w:val="28"/>
          <w:szCs w:val="28"/>
        </w:rPr>
        <w:t>）判别。</w:t>
      </w:r>
    </w:p>
    <w:p>
      <w:pPr>
        <w:pStyle w:val="21"/>
        <w:spacing w:line="440" w:lineRule="exact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仿宋_GB2312"/>
          <w:sz w:val="28"/>
          <w:szCs w:val="28"/>
        </w:rPr>
        <w:t>、定员定量根据《烟花爆竹作业安全技术规程》（</w:t>
      </w:r>
      <w:r>
        <w:rPr>
          <w:sz w:val="28"/>
          <w:szCs w:val="28"/>
        </w:rPr>
        <w:t>GB1652—2012</w:t>
      </w:r>
      <w:r>
        <w:rPr>
          <w:rFonts w:hint="eastAsia" w:cs="仿宋_GB2312"/>
          <w:sz w:val="28"/>
          <w:szCs w:val="28"/>
        </w:rPr>
        <w:t>）判别。</w:t>
      </w:r>
    </w:p>
    <w:p>
      <w:bookmarkStart w:id="0" w:name="_GoBack"/>
      <w:bookmarkEnd w:id="0"/>
    </w:p>
    <w:sectPr>
      <w:pgSz w:w="16838" w:h="11906" w:orient="landscape"/>
      <w:pgMar w:top="1588" w:right="2098" w:bottom="1474" w:left="1928" w:header="284" w:footer="1418" w:gutter="0"/>
      <w:cols w:space="425" w:num="1"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69"/>
    <w:rsid w:val="00046E8D"/>
    <w:rsid w:val="000D153A"/>
    <w:rsid w:val="00236187"/>
    <w:rsid w:val="002B25E4"/>
    <w:rsid w:val="003048E4"/>
    <w:rsid w:val="00472569"/>
    <w:rsid w:val="005C45A7"/>
    <w:rsid w:val="00640F22"/>
    <w:rsid w:val="00677317"/>
    <w:rsid w:val="00913ACB"/>
    <w:rsid w:val="00916D53"/>
    <w:rsid w:val="00D605C8"/>
    <w:rsid w:val="00D9764C"/>
    <w:rsid w:val="00EC345A"/>
    <w:rsid w:val="00FC28FA"/>
    <w:rsid w:val="2F3A1A3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paragraph" w:styleId="6">
    <w:name w:val="heading 5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link w:val="20"/>
    <w:qFormat/>
    <w:uiPriority w:val="99"/>
    <w:pPr>
      <w:spacing w:before="240" w:after="60" w:line="312" w:lineRule="auto"/>
      <w:jc w:val="center"/>
      <w:outlineLvl w:val="1"/>
    </w:pPr>
    <w:rPr>
      <w:rFonts w:ascii="Calibri" w:hAnsi="Calibri" w:cs="Calibr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9"/>
    <w:qFormat/>
    <w:uiPriority w:val="99"/>
    <w:pPr>
      <w:spacing w:before="240" w:after="6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styleId="10">
    <w:name w:val="Strong"/>
    <w:basedOn w:val="9"/>
    <w:qFormat/>
    <w:uiPriority w:val="99"/>
    <w:rPr>
      <w:rFonts w:ascii="Times New Roman" w:hAnsi="Times New Roman" w:eastAsia="宋体" w:cs="Times New Roman"/>
      <w:b/>
      <w:bCs/>
    </w:rPr>
  </w:style>
  <w:style w:type="character" w:styleId="11">
    <w:name w:val="Emphasis"/>
    <w:basedOn w:val="9"/>
    <w:qFormat/>
    <w:uiPriority w:val="99"/>
    <w:rPr>
      <w:rFonts w:ascii="Times New Roman" w:hAnsi="Times New Roman" w:eastAsia="宋体" w:cs="Times New Roman"/>
    </w:rPr>
  </w:style>
  <w:style w:type="character" w:styleId="12">
    <w:name w:val="Hyperlink"/>
    <w:basedOn w:val="9"/>
    <w:uiPriority w:val="99"/>
    <w:rPr>
      <w:color w:val="0000FF"/>
      <w:u w:val="single"/>
    </w:rPr>
  </w:style>
  <w:style w:type="character" w:customStyle="1" w:styleId="14">
    <w:name w:val="Heading 1 Char"/>
    <w:basedOn w:val="9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5">
    <w:name w:val="Heading 2 Char"/>
    <w:basedOn w:val="9"/>
    <w:link w:val="3"/>
    <w:locked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6">
    <w:name w:val="Heading 3 Char"/>
    <w:basedOn w:val="9"/>
    <w:link w:val="4"/>
    <w:qFormat/>
    <w:locked/>
    <w:uiPriority w:val="99"/>
    <w:rPr>
      <w:b/>
      <w:bCs/>
      <w:kern w:val="2"/>
      <w:sz w:val="32"/>
      <w:szCs w:val="32"/>
    </w:rPr>
  </w:style>
  <w:style w:type="character" w:customStyle="1" w:styleId="17">
    <w:name w:val="Heading 4 Char"/>
    <w:basedOn w:val="9"/>
    <w:link w:val="5"/>
    <w:locked/>
    <w:uiPriority w:val="99"/>
    <w:rPr>
      <w:rFonts w:ascii="Arial" w:hAnsi="Arial" w:eastAsia="黑体" w:cs="Arial"/>
      <w:b/>
      <w:bCs/>
      <w:kern w:val="2"/>
      <w:sz w:val="28"/>
      <w:szCs w:val="28"/>
    </w:rPr>
  </w:style>
  <w:style w:type="character" w:customStyle="1" w:styleId="18">
    <w:name w:val="Heading 5 Char"/>
    <w:basedOn w:val="9"/>
    <w:link w:val="6"/>
    <w:locked/>
    <w:uiPriority w:val="99"/>
    <w:rPr>
      <w:b/>
      <w:bCs/>
      <w:kern w:val="2"/>
      <w:sz w:val="28"/>
      <w:szCs w:val="28"/>
    </w:rPr>
  </w:style>
  <w:style w:type="character" w:customStyle="1" w:styleId="19">
    <w:name w:val="Title Char"/>
    <w:basedOn w:val="9"/>
    <w:link w:val="8"/>
    <w:qFormat/>
    <w:locked/>
    <w:uiPriority w:val="99"/>
    <w:rPr>
      <w:rFonts w:ascii="Calibri" w:hAnsi="Calibri" w:cs="Calibri"/>
      <w:b/>
      <w:bCs/>
      <w:kern w:val="2"/>
      <w:sz w:val="32"/>
      <w:szCs w:val="32"/>
    </w:rPr>
  </w:style>
  <w:style w:type="character" w:customStyle="1" w:styleId="20">
    <w:name w:val="Subtitle Char"/>
    <w:basedOn w:val="9"/>
    <w:link w:val="7"/>
    <w:locked/>
    <w:uiPriority w:val="99"/>
    <w:rPr>
      <w:rFonts w:ascii="Calibri" w:hAnsi="Calibri" w:cs="Calibri"/>
      <w:b/>
      <w:bCs/>
      <w:kern w:val="28"/>
      <w:sz w:val="32"/>
      <w:szCs w:val="32"/>
    </w:rPr>
  </w:style>
  <w:style w:type="paragraph" w:customStyle="1" w:styleId="21">
    <w:name w:val="公文主体"/>
    <w:basedOn w:val="1"/>
    <w:link w:val="26"/>
    <w:qFormat/>
    <w:uiPriority w:val="99"/>
    <w:pPr>
      <w:spacing w:line="580" w:lineRule="exact"/>
      <w:ind w:firstLine="200" w:firstLineChars="200"/>
    </w:pPr>
    <w:rPr>
      <w:rFonts w:eastAsia="仿宋_GB2312"/>
      <w:sz w:val="32"/>
      <w:szCs w:val="32"/>
    </w:rPr>
  </w:style>
  <w:style w:type="paragraph" w:customStyle="1" w:styleId="22">
    <w:name w:val="大标题"/>
    <w:basedOn w:val="21"/>
    <w:next w:val="1"/>
    <w:link w:val="27"/>
    <w:qFormat/>
    <w:uiPriority w:val="99"/>
    <w:pPr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paragraph" w:customStyle="1" w:styleId="23">
    <w:name w:val="一级标题"/>
    <w:basedOn w:val="21"/>
    <w:next w:val="21"/>
    <w:link w:val="28"/>
    <w:uiPriority w:val="99"/>
    <w:pPr>
      <w:outlineLvl w:val="2"/>
    </w:pPr>
    <w:rPr>
      <w:rFonts w:eastAsia="黑体"/>
    </w:rPr>
  </w:style>
  <w:style w:type="paragraph" w:customStyle="1" w:styleId="24">
    <w:name w:val="二级标题"/>
    <w:basedOn w:val="21"/>
    <w:next w:val="21"/>
    <w:link w:val="29"/>
    <w:qFormat/>
    <w:uiPriority w:val="99"/>
    <w:pPr>
      <w:outlineLvl w:val="3"/>
    </w:pPr>
    <w:rPr>
      <w:rFonts w:eastAsia="楷体_GB2312"/>
    </w:rPr>
  </w:style>
  <w:style w:type="paragraph" w:customStyle="1" w:styleId="25">
    <w:name w:val="表格"/>
    <w:basedOn w:val="21"/>
    <w:next w:val="21"/>
    <w:uiPriority w:val="99"/>
    <w:pPr>
      <w:spacing w:line="440" w:lineRule="exact"/>
      <w:ind w:firstLine="0" w:firstLineChars="0"/>
      <w:jc w:val="center"/>
    </w:pPr>
    <w:rPr>
      <w:rFonts w:eastAsia="宋体"/>
      <w:sz w:val="28"/>
      <w:szCs w:val="28"/>
    </w:rPr>
  </w:style>
  <w:style w:type="character" w:customStyle="1" w:styleId="26">
    <w:name w:val="公文主体 Char"/>
    <w:basedOn w:val="9"/>
    <w:link w:val="21"/>
    <w:locked/>
    <w:uiPriority w:val="99"/>
    <w:rPr>
      <w:rFonts w:eastAsia="仿宋_GB2312"/>
      <w:kern w:val="2"/>
      <w:sz w:val="24"/>
      <w:szCs w:val="24"/>
    </w:rPr>
  </w:style>
  <w:style w:type="character" w:customStyle="1" w:styleId="27">
    <w:name w:val="大标题 Char"/>
    <w:link w:val="22"/>
    <w:qFormat/>
    <w:locked/>
    <w:uiPriority w:val="99"/>
    <w:rPr>
      <w:rFonts w:eastAsia="方正小标宋简体"/>
      <w:kern w:val="2"/>
      <w:sz w:val="24"/>
      <w:szCs w:val="24"/>
    </w:rPr>
  </w:style>
  <w:style w:type="character" w:customStyle="1" w:styleId="28">
    <w:name w:val="一级标题 Char"/>
    <w:link w:val="23"/>
    <w:locked/>
    <w:uiPriority w:val="99"/>
    <w:rPr>
      <w:rFonts w:eastAsia="黑体"/>
      <w:kern w:val="2"/>
      <w:sz w:val="24"/>
      <w:szCs w:val="24"/>
    </w:rPr>
  </w:style>
  <w:style w:type="character" w:customStyle="1" w:styleId="29">
    <w:name w:val="二级标题 Char"/>
    <w:link w:val="24"/>
    <w:locked/>
    <w:uiPriority w:val="99"/>
    <w:rPr>
      <w:rFonts w:eastAsia="楷体_GB2312"/>
      <w:kern w:val="2"/>
      <w:sz w:val="24"/>
      <w:szCs w:val="24"/>
    </w:rPr>
  </w:style>
  <w:style w:type="character" w:customStyle="1" w:styleId="30">
    <w:name w:val="apple-converted-space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15</Pages>
  <Words>1182</Words>
  <Characters>6743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2016-12-28T08:26:00Z</dcterms:created>
  <dc:creator>石宇</dc:creator>
  <cp:lastModifiedBy>Administrator</cp:lastModifiedBy>
  <dcterms:modified xsi:type="dcterms:W3CDTF">2016-12-28T08:33:13Z</dcterms:modified>
  <dc:title>四川省安全生产监督管理局关于印发《四川省烟花爆竹企业安全生产风险分级监督管理办法（试行）》的通知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